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99" w:rsidRDefault="00EA23A5">
      <w:pPr>
        <w:pStyle w:val="Standard"/>
        <w:snapToGrid w:val="0"/>
        <w:spacing w:line="400" w:lineRule="exact"/>
        <w:ind w:right="-142"/>
        <w:rPr>
          <w:rFonts w:ascii="標楷體" w:eastAsia="標楷體" w:hAnsi="標楷體" w:cs="標楷體, 微軟正黑體"/>
          <w:sz w:val="36"/>
          <w:szCs w:val="36"/>
        </w:rPr>
      </w:pPr>
      <w:bookmarkStart w:id="0" w:name="_GoBack"/>
      <w:r>
        <w:rPr>
          <w:rFonts w:ascii="標楷體" w:eastAsia="標楷體" w:hAnsi="標楷體" w:cs="標楷體, 微軟正黑體"/>
          <w:sz w:val="36"/>
          <w:szCs w:val="36"/>
        </w:rPr>
        <w:t>高級中等以下學校輔導人員職前基礎培訓及在職進修實施要點</w:t>
      </w:r>
      <w:bookmarkEnd w:id="0"/>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一、教育部</w:t>
      </w:r>
      <w:r>
        <w:rPr>
          <w:rFonts w:ascii="標楷體" w:eastAsia="標楷體" w:hAnsi="標楷體" w:cs="標楷體, 微軟正黑體"/>
          <w:sz w:val="28"/>
          <w:szCs w:val="28"/>
        </w:rPr>
        <w:t>(</w:t>
      </w:r>
      <w:r>
        <w:rPr>
          <w:rFonts w:ascii="標楷體" w:eastAsia="標楷體" w:hAnsi="標楷體" w:cs="標楷體, 微軟正黑體"/>
          <w:sz w:val="28"/>
          <w:szCs w:val="28"/>
        </w:rPr>
        <w:t>以下簡稱本部</w:t>
      </w:r>
      <w:r>
        <w:rPr>
          <w:rFonts w:ascii="標楷體" w:eastAsia="標楷體" w:hAnsi="標楷體" w:cs="標楷體, 微軟正黑體"/>
          <w:sz w:val="28"/>
          <w:szCs w:val="28"/>
        </w:rPr>
        <w:t>)</w:t>
      </w:r>
      <w:r>
        <w:rPr>
          <w:rFonts w:ascii="標楷體" w:eastAsia="標楷體" w:hAnsi="標楷體" w:cs="標楷體, 微軟正黑體"/>
          <w:sz w:val="28"/>
          <w:szCs w:val="28"/>
        </w:rPr>
        <w:t>為提升輔導人員專業知能，協助各該主管機關、高級中等以下學校</w:t>
      </w:r>
      <w:r>
        <w:rPr>
          <w:rFonts w:ascii="標楷體" w:eastAsia="標楷體" w:hAnsi="標楷體" w:cs="標楷體, 微軟正黑體"/>
          <w:sz w:val="28"/>
          <w:szCs w:val="28"/>
        </w:rPr>
        <w:t>(</w:t>
      </w:r>
      <w:r>
        <w:rPr>
          <w:rFonts w:ascii="標楷體" w:eastAsia="標楷體" w:hAnsi="標楷體" w:cs="標楷體, 微軟正黑體"/>
          <w:sz w:val="28"/>
          <w:szCs w:val="28"/>
        </w:rPr>
        <w:t>以下簡稱學校</w:t>
      </w:r>
      <w:r>
        <w:rPr>
          <w:rFonts w:ascii="標楷體" w:eastAsia="標楷體" w:hAnsi="標楷體" w:cs="標楷體, 微軟正黑體"/>
          <w:sz w:val="28"/>
          <w:szCs w:val="28"/>
        </w:rPr>
        <w:t>)</w:t>
      </w:r>
      <w:r>
        <w:rPr>
          <w:rFonts w:ascii="標楷體" w:eastAsia="標楷體" w:hAnsi="標楷體" w:cs="標楷體, 微軟正黑體"/>
          <w:sz w:val="28"/>
          <w:szCs w:val="28"/>
        </w:rPr>
        <w:t>依學生輔導法</w:t>
      </w:r>
      <w:r>
        <w:rPr>
          <w:rFonts w:ascii="標楷體" w:eastAsia="標楷體" w:hAnsi="標楷體" w:cs="標楷體, 微軟正黑體"/>
          <w:sz w:val="28"/>
          <w:szCs w:val="28"/>
        </w:rPr>
        <w:t>(</w:t>
      </w:r>
      <w:r>
        <w:rPr>
          <w:rFonts w:ascii="標楷體" w:eastAsia="標楷體" w:hAnsi="標楷體" w:cs="標楷體, 微軟正黑體"/>
          <w:sz w:val="28"/>
          <w:szCs w:val="28"/>
        </w:rPr>
        <w:t>以下簡稱本法</w:t>
      </w:r>
      <w:r>
        <w:rPr>
          <w:rFonts w:ascii="標楷體" w:eastAsia="標楷體" w:hAnsi="標楷體" w:cs="標楷體, 微軟正黑體"/>
          <w:sz w:val="28"/>
          <w:szCs w:val="28"/>
        </w:rPr>
        <w:t>)</w:t>
      </w:r>
      <w:r>
        <w:rPr>
          <w:rFonts w:ascii="標楷體" w:eastAsia="標楷體" w:hAnsi="標楷體" w:cs="標楷體, 微軟正黑體"/>
          <w:sz w:val="28"/>
          <w:szCs w:val="28"/>
        </w:rPr>
        <w:t>第十四條規定，辦理輔導人員之職前基礎培訓及在職進修，特訂定本要點。</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二、本要點之執行機關為本部國民及學前教育署。</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三、本要點所稱輔導人員，指本法第十四條所定於學校從事學生輔導工作之輔導主任或組長、輔導教師及專業輔導人員。</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四、各該主管機關應定期辦理初任或初聘輔導人員至少四十小時之職前基礎培訓；其培訓內容，得參照初任或初聘輔導人員職前基礎培訓四十小時訓練課程（附件一）辦理。</w:t>
      </w:r>
    </w:p>
    <w:p w:rsidR="002C3099" w:rsidRDefault="00EA23A5">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人員每年應接受在職進修課程至少十八小時；其培訓內容，得參照輔導人員在職進修十八小時訓練課程（附件二）辦理。但初任輔導人員依前項規定於當年度已完成四十小時以上之職前基礎培訓課程者，得抵免之。</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五、各該主管機關應妥善規劃初任或初聘輔導人員職前基礎培訓</w:t>
      </w:r>
      <w:r>
        <w:rPr>
          <w:rFonts w:ascii="標楷體" w:eastAsia="標楷體" w:hAnsi="標楷體" w:cs="標楷體, 微軟正黑體"/>
          <w:sz w:val="28"/>
          <w:szCs w:val="28"/>
        </w:rPr>
        <w:t>，並得結合學生輔導諮商中心、家庭教育中心、少年輔導委員會及其他相關機關</w:t>
      </w:r>
      <w:r>
        <w:rPr>
          <w:rFonts w:ascii="標楷體" w:eastAsia="標楷體" w:hAnsi="標楷體" w:cs="標楷體, 微軟正黑體"/>
          <w:sz w:val="28"/>
          <w:szCs w:val="28"/>
        </w:rPr>
        <w:t>(</w:t>
      </w:r>
      <w:r>
        <w:rPr>
          <w:rFonts w:ascii="標楷體" w:eastAsia="標楷體" w:hAnsi="標楷體" w:cs="標楷體, 微軟正黑體"/>
          <w:sz w:val="28"/>
          <w:szCs w:val="28"/>
        </w:rPr>
        <w:t>單位</w:t>
      </w:r>
      <w:r>
        <w:rPr>
          <w:rFonts w:ascii="標楷體" w:eastAsia="標楷體" w:hAnsi="標楷體" w:cs="標楷體, 微軟正黑體"/>
          <w:sz w:val="28"/>
          <w:szCs w:val="28"/>
        </w:rPr>
        <w:t>)</w:t>
      </w:r>
      <w:r>
        <w:rPr>
          <w:rFonts w:ascii="標楷體" w:eastAsia="標楷體" w:hAnsi="標楷體" w:cs="標楷體, 微軟正黑體"/>
          <w:sz w:val="28"/>
          <w:szCs w:val="28"/>
        </w:rPr>
        <w:t>資源。</w:t>
      </w:r>
    </w:p>
    <w:p w:rsidR="002C3099" w:rsidRDefault="00EA23A5">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學校應定期自行或聯合他校、學生輔導諮商中心、家庭教育中心、少年輔導委員會及其他相關機關</w:t>
      </w:r>
      <w:r>
        <w:rPr>
          <w:rFonts w:ascii="標楷體" w:eastAsia="標楷體" w:hAnsi="標楷體" w:cs="標楷體, 微軟正黑體"/>
          <w:sz w:val="28"/>
          <w:szCs w:val="28"/>
        </w:rPr>
        <w:t>(</w:t>
      </w:r>
      <w:r>
        <w:rPr>
          <w:rFonts w:ascii="標楷體" w:eastAsia="標楷體" w:hAnsi="標楷體" w:cs="標楷體, 微軟正黑體"/>
          <w:sz w:val="28"/>
          <w:szCs w:val="28"/>
        </w:rPr>
        <w:t>單位</w:t>
      </w:r>
      <w:r>
        <w:rPr>
          <w:rFonts w:ascii="標楷體" w:eastAsia="標楷體" w:hAnsi="標楷體" w:cs="標楷體, 微軟正黑體"/>
          <w:sz w:val="28"/>
          <w:szCs w:val="28"/>
        </w:rPr>
        <w:t>)</w:t>
      </w:r>
      <w:r>
        <w:rPr>
          <w:rFonts w:ascii="標楷體" w:eastAsia="標楷體" w:hAnsi="標楷體" w:cs="標楷體, 微軟正黑體"/>
          <w:sz w:val="28"/>
          <w:szCs w:val="28"/>
        </w:rPr>
        <w:t>資源，辦理輔導人員在職進修，並納入年度輔導工作計畫實施。</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六、擔任輔導人員職前基礎培訓及在職進修課程之授課者，應符合下列各款資格之一：</w:t>
      </w:r>
    </w:p>
    <w:p w:rsidR="002C3099" w:rsidRDefault="00EA23A5">
      <w:pPr>
        <w:pStyle w:val="Standard"/>
        <w:spacing w:line="400" w:lineRule="exact"/>
        <w:ind w:left="851" w:hanging="565"/>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一</w:t>
      </w:r>
      <w:r>
        <w:rPr>
          <w:rFonts w:ascii="標楷體" w:eastAsia="標楷體" w:hAnsi="標楷體" w:cs="標楷體, 微軟正黑體"/>
          <w:sz w:val="28"/>
          <w:szCs w:val="28"/>
        </w:rPr>
        <w:t>)</w:t>
      </w:r>
      <w:r>
        <w:rPr>
          <w:rFonts w:ascii="標楷體" w:eastAsia="標楷體" w:hAnsi="標楷體" w:cs="標楷體, 微軟正黑體"/>
          <w:sz w:val="28"/>
          <w:szCs w:val="28"/>
        </w:rPr>
        <w:t>具有心理、醫學、社會工作、法律或其他相關學科之專長，或具專業執照、證照。</w:t>
      </w:r>
    </w:p>
    <w:p w:rsidR="002C3099" w:rsidRDefault="00EA23A5">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二</w:t>
      </w:r>
      <w:r>
        <w:rPr>
          <w:rFonts w:ascii="標楷體" w:eastAsia="標楷體" w:hAnsi="標楷體" w:cs="標楷體, 微軟正黑體"/>
          <w:sz w:val="28"/>
          <w:szCs w:val="28"/>
        </w:rPr>
        <w:t>)</w:t>
      </w:r>
      <w:r>
        <w:rPr>
          <w:rFonts w:ascii="標楷體" w:eastAsia="標楷體" w:hAnsi="標楷體" w:cs="標楷體, 微軟正黑體"/>
          <w:sz w:val="28"/>
          <w:szCs w:val="28"/>
        </w:rPr>
        <w:t>具有大專校院相關系所講師以上證書或擔任相關職務。</w:t>
      </w:r>
    </w:p>
    <w:p w:rsidR="002C3099" w:rsidRDefault="00EA23A5">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三</w:t>
      </w:r>
      <w:r>
        <w:rPr>
          <w:rFonts w:ascii="標楷體" w:eastAsia="標楷體" w:hAnsi="標楷體" w:cs="標楷體, 微軟正黑體"/>
          <w:sz w:val="28"/>
          <w:szCs w:val="28"/>
        </w:rPr>
        <w:t>)</w:t>
      </w:r>
      <w:r>
        <w:rPr>
          <w:rFonts w:ascii="標楷體" w:eastAsia="標楷體" w:hAnsi="標楷體" w:cs="標楷體, 微軟正黑體"/>
          <w:sz w:val="28"/>
          <w:szCs w:val="28"/>
        </w:rPr>
        <w:t>擔任學校輔導人員，且具五年以上輔導行政或實務工作資歷。</w:t>
      </w:r>
    </w:p>
    <w:p w:rsidR="002C3099" w:rsidRDefault="00EA23A5">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各該主管機關及學校得視課程內容，邀請相關機關、機構或大專校院人員、教師授課。</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七、輔導人員職前基礎培訓及在職進修課程，得以下列方式之一實施之：</w:t>
      </w:r>
    </w:p>
    <w:p w:rsidR="002C3099" w:rsidRDefault="00EA23A5">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一</w:t>
      </w:r>
      <w:r>
        <w:rPr>
          <w:rFonts w:ascii="標楷體" w:eastAsia="標楷體" w:hAnsi="標楷體" w:cs="標楷體, 微軟正黑體"/>
          <w:sz w:val="28"/>
          <w:szCs w:val="28"/>
        </w:rPr>
        <w:t>)</w:t>
      </w:r>
      <w:r>
        <w:rPr>
          <w:rFonts w:ascii="標楷體" w:eastAsia="標楷體" w:hAnsi="標楷體" w:cs="標楷體, 微軟正黑體"/>
          <w:sz w:val="28"/>
          <w:szCs w:val="28"/>
        </w:rPr>
        <w:t>專題演講、座談或研討。</w:t>
      </w:r>
    </w:p>
    <w:p w:rsidR="002C3099" w:rsidRDefault="00EA23A5">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二</w:t>
      </w:r>
      <w:r>
        <w:rPr>
          <w:rFonts w:ascii="標楷體" w:eastAsia="標楷體" w:hAnsi="標楷體" w:cs="標楷體, 微軟正黑體"/>
          <w:sz w:val="28"/>
          <w:szCs w:val="28"/>
        </w:rPr>
        <w:t>)</w:t>
      </w:r>
      <w:r>
        <w:rPr>
          <w:rFonts w:ascii="標楷體" w:eastAsia="標楷體" w:hAnsi="標楷體" w:cs="標楷體, 微軟正黑體"/>
          <w:sz w:val="28"/>
          <w:szCs w:val="28"/>
        </w:rPr>
        <w:t>個案研討或督導。</w:t>
      </w:r>
    </w:p>
    <w:p w:rsidR="002C3099" w:rsidRDefault="00EA23A5">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三</w:t>
      </w:r>
      <w:r>
        <w:rPr>
          <w:rFonts w:ascii="標楷體" w:eastAsia="標楷體" w:hAnsi="標楷體" w:cs="標楷體, 微軟正黑體"/>
          <w:sz w:val="28"/>
          <w:szCs w:val="28"/>
        </w:rPr>
        <w:t>)</w:t>
      </w:r>
      <w:r>
        <w:rPr>
          <w:rFonts w:ascii="標楷體" w:eastAsia="標楷體" w:hAnsi="標楷體" w:cs="標楷體, 微軟正黑體"/>
          <w:sz w:val="28"/>
          <w:szCs w:val="28"/>
        </w:rPr>
        <w:t>實務演練。</w:t>
      </w:r>
    </w:p>
    <w:p w:rsidR="002C3099" w:rsidRDefault="00EA23A5">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四</w:t>
      </w:r>
      <w:r>
        <w:rPr>
          <w:rFonts w:ascii="標楷體" w:eastAsia="標楷體" w:hAnsi="標楷體" w:cs="標楷體, 微軟正黑體"/>
          <w:sz w:val="28"/>
          <w:szCs w:val="28"/>
        </w:rPr>
        <w:t>)</w:t>
      </w:r>
      <w:r>
        <w:rPr>
          <w:rFonts w:ascii="標楷體" w:eastAsia="標楷體" w:hAnsi="標楷體" w:cs="標楷體, 微軟正黑體"/>
          <w:sz w:val="28"/>
          <w:szCs w:val="28"/>
        </w:rPr>
        <w:t>其他有助於提升輔導專業相關能力之方式。</w:t>
      </w:r>
    </w:p>
    <w:p w:rsidR="002C3099" w:rsidRDefault="00EA23A5">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前項實施方式，得採分組、研討、工作坊或其他實作方式進行，以提升實務工作知能。</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八、輔導人員應積極參與職前基礎培訓及在職進修課程，除不可抗力因素外，</w:t>
      </w:r>
      <w:r>
        <w:rPr>
          <w:rFonts w:ascii="標楷體" w:eastAsia="標楷體" w:hAnsi="標楷體" w:cs="標楷體, 微軟正黑體"/>
          <w:sz w:val="28"/>
          <w:szCs w:val="28"/>
        </w:rPr>
        <w:lastRenderedPageBreak/>
        <w:t>應全程參與，且聘用機關或學校應核給公</w:t>
      </w:r>
      <w:r>
        <w:rPr>
          <w:rFonts w:ascii="標楷體" w:eastAsia="標楷體" w:hAnsi="標楷體" w:cs="標楷體, 微軟正黑體"/>
          <w:sz w:val="28"/>
          <w:szCs w:val="28"/>
        </w:rPr>
        <w:t>(</w:t>
      </w:r>
      <w:r>
        <w:rPr>
          <w:rFonts w:ascii="標楷體" w:eastAsia="標楷體" w:hAnsi="標楷體" w:cs="標楷體, 微軟正黑體"/>
          <w:sz w:val="28"/>
          <w:szCs w:val="28"/>
        </w:rPr>
        <w:t>差</w:t>
      </w:r>
      <w:r>
        <w:rPr>
          <w:rFonts w:ascii="標楷體" w:eastAsia="標楷體" w:hAnsi="標楷體" w:cs="標楷體, 微軟正黑體"/>
          <w:sz w:val="28"/>
          <w:szCs w:val="28"/>
        </w:rPr>
        <w:t>)</w:t>
      </w:r>
      <w:r>
        <w:rPr>
          <w:rFonts w:ascii="標楷體" w:eastAsia="標楷體" w:hAnsi="標楷體" w:cs="標楷體, 微軟正黑體"/>
          <w:sz w:val="28"/>
          <w:szCs w:val="28"/>
        </w:rPr>
        <w:t>假。</w:t>
      </w:r>
    </w:p>
    <w:p w:rsidR="002C3099" w:rsidRDefault="00EA23A5">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輔導主任或組長、輔導教師，因公</w:t>
      </w:r>
      <w:r>
        <w:rPr>
          <w:rFonts w:ascii="標楷體" w:eastAsia="標楷體" w:hAnsi="標楷體" w:cs="標楷體, 微軟正黑體"/>
          <w:sz w:val="28"/>
          <w:szCs w:val="28"/>
        </w:rPr>
        <w:t>(</w:t>
      </w:r>
      <w:r>
        <w:rPr>
          <w:rFonts w:ascii="標楷體" w:eastAsia="標楷體" w:hAnsi="標楷體" w:cs="標楷體, 微軟正黑體"/>
          <w:sz w:val="28"/>
          <w:szCs w:val="28"/>
        </w:rPr>
        <w:t>差</w:t>
      </w:r>
      <w:r>
        <w:rPr>
          <w:rFonts w:ascii="標楷體" w:eastAsia="標楷體" w:hAnsi="標楷體" w:cs="標楷體, 微軟正黑體"/>
          <w:sz w:val="28"/>
          <w:szCs w:val="28"/>
        </w:rPr>
        <w:t>)</w:t>
      </w:r>
      <w:r>
        <w:rPr>
          <w:rFonts w:ascii="標楷體" w:eastAsia="標楷體" w:hAnsi="標楷體" w:cs="標楷體, 微軟正黑體"/>
          <w:sz w:val="28"/>
          <w:szCs w:val="28"/>
        </w:rPr>
        <w:t>假期間所遺課務，應以調課方式處理或由學校遴聘合格人員代課，並核支代課鐘點費。</w:t>
      </w:r>
    </w:p>
    <w:p w:rsidR="002C3099" w:rsidRDefault="00EA23A5">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輔導教師及專業輔導人員，依本法第十五條規定接受在職進修課程情形，納入其成績考核，成績優良者，應予獎勵。</w:t>
      </w:r>
    </w:p>
    <w:p w:rsidR="002C3099" w:rsidRDefault="00EA23A5">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九、專業輔導人員之繼續教育，應依其相關規定辦理。</w:t>
      </w:r>
    </w:p>
    <w:p w:rsidR="002C3099" w:rsidRDefault="00EA23A5">
      <w:pPr>
        <w:pStyle w:val="Standard"/>
        <w:spacing w:line="400" w:lineRule="exact"/>
        <w:ind w:left="566" w:hanging="566"/>
      </w:pPr>
      <w:r>
        <w:rPr>
          <w:rFonts w:ascii="標楷體" w:eastAsia="標楷體" w:hAnsi="標楷體" w:cs="標楷體, 微軟正黑體"/>
          <w:sz w:val="28"/>
          <w:szCs w:val="28"/>
        </w:rPr>
        <w:t>十、各該主管機關委託開辦輔導人員在職進修課程之單位，應於開課二個月前，將課程內容函報各該主管機關備查。</w:t>
      </w:r>
    </w:p>
    <w:sectPr w:rsidR="002C3099">
      <w:footerReference w:type="default" r:id="rId7"/>
      <w:pgSz w:w="11906" w:h="16838"/>
      <w:pgMar w:top="1134" w:right="1134" w:bottom="1134" w:left="1134" w:header="720" w:footer="567" w:gutter="0"/>
      <w:pgNumType w:start="1"/>
      <w:cols w:space="720"/>
      <w:docGrid w:type="lines" w:linePitch="5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A5" w:rsidRDefault="00EA23A5">
      <w:pPr>
        <w:rPr>
          <w:rFonts w:hint="eastAsia"/>
        </w:rPr>
      </w:pPr>
      <w:r>
        <w:separator/>
      </w:r>
    </w:p>
  </w:endnote>
  <w:endnote w:type="continuationSeparator" w:id="0">
    <w:p w:rsidR="00EA23A5" w:rsidRDefault="00EA23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標楷體, 微軟正黑體">
    <w:charset w:val="00"/>
    <w:family w:val="script"/>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B9" w:rsidRDefault="00EA23A5">
    <w:pPr>
      <w:pStyle w:val="a6"/>
      <w:jc w:val="center"/>
    </w:pPr>
    <w:r>
      <w:fldChar w:fldCharType="begin"/>
    </w:r>
    <w:r>
      <w:instrText xml:space="preserve"> PAGE </w:instrText>
    </w:r>
    <w:r>
      <w:fldChar w:fldCharType="separate"/>
    </w:r>
    <w:r w:rsidR="00600247">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A5" w:rsidRDefault="00EA23A5">
      <w:pPr>
        <w:rPr>
          <w:rFonts w:hint="eastAsia"/>
        </w:rPr>
      </w:pPr>
      <w:r>
        <w:rPr>
          <w:color w:val="000000"/>
        </w:rPr>
        <w:separator/>
      </w:r>
    </w:p>
  </w:footnote>
  <w:footnote w:type="continuationSeparator" w:id="0">
    <w:p w:rsidR="00EA23A5" w:rsidRDefault="00EA23A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F93"/>
    <w:multiLevelType w:val="multilevel"/>
    <w:tmpl w:val="01FEEAEC"/>
    <w:styleLink w:val="WW8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3F5BC9"/>
    <w:multiLevelType w:val="multilevel"/>
    <w:tmpl w:val="06CC3A0E"/>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2173A0"/>
    <w:multiLevelType w:val="multilevel"/>
    <w:tmpl w:val="004E05A2"/>
    <w:styleLink w:val="WW8Num16"/>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8266A9"/>
    <w:multiLevelType w:val="multilevel"/>
    <w:tmpl w:val="655C1B5C"/>
    <w:styleLink w:val="LFO27"/>
    <w:lvl w:ilvl="0">
      <w:start w:val="1"/>
      <w:numFmt w:val="ideographLegalTraditional"/>
      <w:pStyle w:val="a"/>
      <w:lvlText w:val="%1、"/>
      <w:lvlJc w:val="left"/>
      <w:pPr>
        <w:ind w:left="720" w:hanging="720"/>
      </w:pPr>
      <w:rPr>
        <w:b/>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566897"/>
    <w:multiLevelType w:val="multilevel"/>
    <w:tmpl w:val="8F0C63F6"/>
    <w:styleLink w:val="WW8Num26"/>
    <w:lvl w:ilvl="0">
      <w:start w:val="7"/>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F16281"/>
    <w:multiLevelType w:val="multilevel"/>
    <w:tmpl w:val="5532BBE8"/>
    <w:styleLink w:val="WW8Num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0EF1E13"/>
    <w:multiLevelType w:val="multilevel"/>
    <w:tmpl w:val="FA90E810"/>
    <w:styleLink w:val="WW8Num22"/>
    <w:lvl w:ilvl="0">
      <w:start w:val="5"/>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5A4445B"/>
    <w:multiLevelType w:val="multilevel"/>
    <w:tmpl w:val="444A325E"/>
    <w:styleLink w:val="WW8Num1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2BDA17EB"/>
    <w:multiLevelType w:val="multilevel"/>
    <w:tmpl w:val="76366FAE"/>
    <w:styleLink w:val="WW8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C544299"/>
    <w:multiLevelType w:val="multilevel"/>
    <w:tmpl w:val="6D44440A"/>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3771B49"/>
    <w:multiLevelType w:val="multilevel"/>
    <w:tmpl w:val="D57A2D06"/>
    <w:styleLink w:val="WW8Num8"/>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79512FF"/>
    <w:multiLevelType w:val="multilevel"/>
    <w:tmpl w:val="F8580280"/>
    <w:styleLink w:val="WW8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824940"/>
    <w:multiLevelType w:val="multilevel"/>
    <w:tmpl w:val="BCF241A4"/>
    <w:styleLink w:val="WW8Num5"/>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B246AF8"/>
    <w:multiLevelType w:val="multilevel"/>
    <w:tmpl w:val="16FAF338"/>
    <w:styleLink w:val="WW8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BCB6D88"/>
    <w:multiLevelType w:val="multilevel"/>
    <w:tmpl w:val="ACBAF10A"/>
    <w:styleLink w:val="WW8Num12"/>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1F5F91"/>
    <w:multiLevelType w:val="multilevel"/>
    <w:tmpl w:val="0FB6F87E"/>
    <w:styleLink w:val="WW8Num17"/>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E4F6742"/>
    <w:multiLevelType w:val="multilevel"/>
    <w:tmpl w:val="57967D84"/>
    <w:styleLink w:val="WW8Num11"/>
    <w:lvl w:ilvl="0">
      <w:start w:val="4"/>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0B332D9"/>
    <w:multiLevelType w:val="multilevel"/>
    <w:tmpl w:val="DBFE236C"/>
    <w:styleLink w:val="WW8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444038"/>
    <w:multiLevelType w:val="multilevel"/>
    <w:tmpl w:val="D648FF6C"/>
    <w:styleLink w:val="WW8Num18"/>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9" w15:restartNumberingAfterBreak="0">
    <w:nsid w:val="565A0C95"/>
    <w:multiLevelType w:val="multilevel"/>
    <w:tmpl w:val="B7B8B456"/>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024047C"/>
    <w:multiLevelType w:val="multilevel"/>
    <w:tmpl w:val="7A241586"/>
    <w:styleLink w:val="WW8Num2"/>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0707126"/>
    <w:multiLevelType w:val="multilevel"/>
    <w:tmpl w:val="19A881A4"/>
    <w:styleLink w:val="WW8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6190992"/>
    <w:multiLevelType w:val="multilevel"/>
    <w:tmpl w:val="8C4A9B52"/>
    <w:styleLink w:val="WW8Num25"/>
    <w:lvl w:ilvl="0">
      <w:start w:val="1"/>
      <w:numFmt w:val="upperLetter"/>
      <w:lvlText w:val="%1、"/>
      <w:lvlJc w:val="left"/>
      <w:pPr>
        <w:ind w:left="972" w:hanging="360"/>
      </w:pPr>
      <w:rPr>
        <w:rFonts w:ascii="Calibri" w:eastAsia="新細明體, PMingLiU" w:hAnsi="Calibri" w:cs="Calibri"/>
      </w:rPr>
    </w:lvl>
    <w:lvl w:ilvl="1">
      <w:start w:val="1"/>
      <w:numFmt w:val="ideographTraditional"/>
      <w:lvlText w:val="%2、"/>
      <w:lvlJc w:val="left"/>
      <w:pPr>
        <w:ind w:left="1572" w:hanging="480"/>
      </w:pPr>
    </w:lvl>
    <w:lvl w:ilvl="2">
      <w:start w:val="1"/>
      <w:numFmt w:val="lowerRoman"/>
      <w:lvlText w:val="%3."/>
      <w:lvlJc w:val="right"/>
      <w:pPr>
        <w:ind w:left="2052" w:hanging="480"/>
      </w:pPr>
    </w:lvl>
    <w:lvl w:ilvl="3">
      <w:start w:val="1"/>
      <w:numFmt w:val="decimal"/>
      <w:lvlText w:val="%4."/>
      <w:lvlJc w:val="left"/>
      <w:pPr>
        <w:ind w:left="2532" w:hanging="480"/>
      </w:pPr>
    </w:lvl>
    <w:lvl w:ilvl="4">
      <w:start w:val="1"/>
      <w:numFmt w:val="ideographTraditional"/>
      <w:lvlText w:val="%5、"/>
      <w:lvlJc w:val="left"/>
      <w:pPr>
        <w:ind w:left="3012" w:hanging="480"/>
      </w:pPr>
    </w:lvl>
    <w:lvl w:ilvl="5">
      <w:start w:val="1"/>
      <w:numFmt w:val="lowerRoman"/>
      <w:lvlText w:val="%6."/>
      <w:lvlJc w:val="right"/>
      <w:pPr>
        <w:ind w:left="3492" w:hanging="480"/>
      </w:pPr>
    </w:lvl>
    <w:lvl w:ilvl="6">
      <w:start w:val="1"/>
      <w:numFmt w:val="decimal"/>
      <w:lvlText w:val="%7."/>
      <w:lvlJc w:val="left"/>
      <w:pPr>
        <w:ind w:left="3972" w:hanging="480"/>
      </w:pPr>
    </w:lvl>
    <w:lvl w:ilvl="7">
      <w:start w:val="1"/>
      <w:numFmt w:val="ideographTraditional"/>
      <w:lvlText w:val="%8、"/>
      <w:lvlJc w:val="left"/>
      <w:pPr>
        <w:ind w:left="4452" w:hanging="480"/>
      </w:pPr>
    </w:lvl>
    <w:lvl w:ilvl="8">
      <w:start w:val="1"/>
      <w:numFmt w:val="lowerRoman"/>
      <w:lvlText w:val="%9."/>
      <w:lvlJc w:val="right"/>
      <w:pPr>
        <w:ind w:left="4932" w:hanging="480"/>
      </w:pPr>
    </w:lvl>
  </w:abstractNum>
  <w:abstractNum w:abstractNumId="23" w15:restartNumberingAfterBreak="0">
    <w:nsid w:val="678B09C1"/>
    <w:multiLevelType w:val="multilevel"/>
    <w:tmpl w:val="C70486A8"/>
    <w:styleLink w:val="WW8Num13"/>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1DC46F3"/>
    <w:multiLevelType w:val="multilevel"/>
    <w:tmpl w:val="535431F2"/>
    <w:styleLink w:val="WW8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6544DC9"/>
    <w:multiLevelType w:val="multilevel"/>
    <w:tmpl w:val="DD407890"/>
    <w:styleLink w:val="WW8Num2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24052D"/>
    <w:multiLevelType w:val="multilevel"/>
    <w:tmpl w:val="851AB6EE"/>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20"/>
  </w:num>
  <w:num w:numId="3">
    <w:abstractNumId w:val="0"/>
  </w:num>
  <w:num w:numId="4">
    <w:abstractNumId w:val="1"/>
  </w:num>
  <w:num w:numId="5">
    <w:abstractNumId w:val="12"/>
  </w:num>
  <w:num w:numId="6">
    <w:abstractNumId w:val="21"/>
  </w:num>
  <w:num w:numId="7">
    <w:abstractNumId w:val="26"/>
  </w:num>
  <w:num w:numId="8">
    <w:abstractNumId w:val="10"/>
  </w:num>
  <w:num w:numId="9">
    <w:abstractNumId w:val="19"/>
  </w:num>
  <w:num w:numId="10">
    <w:abstractNumId w:val="24"/>
  </w:num>
  <w:num w:numId="11">
    <w:abstractNumId w:val="16"/>
  </w:num>
  <w:num w:numId="12">
    <w:abstractNumId w:val="14"/>
  </w:num>
  <w:num w:numId="13">
    <w:abstractNumId w:val="23"/>
  </w:num>
  <w:num w:numId="14">
    <w:abstractNumId w:val="7"/>
  </w:num>
  <w:num w:numId="15">
    <w:abstractNumId w:val="17"/>
  </w:num>
  <w:num w:numId="16">
    <w:abstractNumId w:val="2"/>
  </w:num>
  <w:num w:numId="17">
    <w:abstractNumId w:val="15"/>
  </w:num>
  <w:num w:numId="18">
    <w:abstractNumId w:val="18"/>
  </w:num>
  <w:num w:numId="19">
    <w:abstractNumId w:val="13"/>
  </w:num>
  <w:num w:numId="20">
    <w:abstractNumId w:val="11"/>
  </w:num>
  <w:num w:numId="21">
    <w:abstractNumId w:val="5"/>
  </w:num>
  <w:num w:numId="22">
    <w:abstractNumId w:val="6"/>
  </w:num>
  <w:num w:numId="23">
    <w:abstractNumId w:val="8"/>
  </w:num>
  <w:num w:numId="24">
    <w:abstractNumId w:val="25"/>
  </w:num>
  <w:num w:numId="25">
    <w:abstractNumId w:val="22"/>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C3099"/>
    <w:rsid w:val="002C3099"/>
    <w:rsid w:val="00600247"/>
    <w:rsid w:val="00EA2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4C9C6-51A7-4E24-B0A9-BB056A1B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snapToGrid w:val="0"/>
    </w:pPr>
    <w:rPr>
      <w:rFonts w:ascii="Times New Roman" w:eastAsia="Times New Roman" w:hAnsi="Times New Roman"/>
      <w:kern w:val="0"/>
      <w:sz w:val="20"/>
      <w:szCs w:val="20"/>
    </w:rPr>
  </w:style>
  <w:style w:type="paragraph" w:styleId="a7">
    <w:name w:val="header"/>
    <w:basedOn w:val="Standard"/>
    <w:pPr>
      <w:snapToGrid w:val="0"/>
    </w:pPr>
    <w:rPr>
      <w:kern w:val="0"/>
      <w:sz w:val="20"/>
      <w:szCs w:val="20"/>
    </w:rPr>
  </w:style>
  <w:style w:type="paragraph" w:styleId="HTML">
    <w:name w:val="HTML Preformatted"/>
    <w:basedOn w:val="Standard"/>
    <w:pPr>
      <w:widowControl/>
    </w:pPr>
    <w:rPr>
      <w:rFonts w:ascii="細明體, MingLiU" w:eastAsia="細明體, MingLiU" w:hAnsi="細明體, MingLiU" w:cs="細明體, MingLiU"/>
      <w:kern w:val="0"/>
      <w:sz w:val="20"/>
      <w:szCs w:val="24"/>
    </w:rPr>
  </w:style>
  <w:style w:type="paragraph" w:customStyle="1" w:styleId="0221">
    <w:name w:val="0221"/>
    <w:basedOn w:val="Standard"/>
    <w:pPr>
      <w:widowControl/>
      <w:spacing w:before="280" w:after="280"/>
    </w:pPr>
    <w:rPr>
      <w:rFonts w:ascii="新細明體, PMingLiU" w:hAnsi="新細明體, PMingLiU" w:cs="新細明體, PMingLiU"/>
      <w:kern w:val="0"/>
      <w:szCs w:val="24"/>
    </w:rPr>
  </w:style>
  <w:style w:type="paragraph" w:customStyle="1" w:styleId="xl49">
    <w:name w:val="xl49"/>
    <w:basedOn w:val="Standard"/>
    <w:pPr>
      <w:widowControl/>
      <w:spacing w:before="280" w:after="280"/>
      <w:jc w:val="center"/>
    </w:pPr>
    <w:rPr>
      <w:rFonts w:ascii="標楷體, 微軟正黑體" w:eastAsia="標楷體, 微軟正黑體" w:hAnsi="標楷體, 微軟正黑體"/>
      <w:b/>
      <w:bCs/>
      <w:kern w:val="0"/>
      <w:sz w:val="32"/>
      <w:szCs w:val="32"/>
    </w:rPr>
  </w:style>
  <w:style w:type="paragraph" w:styleId="a8">
    <w:name w:val="Balloon Text"/>
    <w:basedOn w:val="Standard"/>
    <w:rPr>
      <w:rFonts w:ascii="Cambria" w:eastAsia="Cambria" w:hAnsi="Cambria" w:cs="Cambria"/>
      <w:kern w:val="0"/>
      <w:sz w:val="18"/>
      <w:szCs w:val="18"/>
    </w:rPr>
  </w:style>
  <w:style w:type="paragraph" w:styleId="a9">
    <w:name w:val="List Paragraph"/>
    <w:basedOn w:val="Standard"/>
    <w:pPr>
      <w:ind w:left="480"/>
    </w:pPr>
  </w:style>
  <w:style w:type="paragraph" w:customStyle="1" w:styleId="0222">
    <w:name w:val="0222"/>
    <w:basedOn w:val="Standard"/>
    <w:pPr>
      <w:widowControl/>
      <w:spacing w:before="280" w:after="280"/>
    </w:pPr>
    <w:rPr>
      <w:rFonts w:ascii="新細明體, PMingLiU" w:hAnsi="新細明體, PMingLiU" w:cs="新細明體, PMingLiU"/>
      <w:kern w:val="0"/>
      <w:szCs w:val="24"/>
    </w:rPr>
  </w:style>
  <w:style w:type="paragraph" w:customStyle="1" w:styleId="aa">
    <w:name w:val="字元 字元 字元"/>
    <w:basedOn w:val="Standard"/>
    <w:pPr>
      <w:widowControl/>
      <w:spacing w:after="160" w:line="240" w:lineRule="exact"/>
    </w:pPr>
    <w:rPr>
      <w:rFonts w:ascii="Arial" w:eastAsia="Times New Roman" w:hAnsi="Arial" w:cs="Arial"/>
      <w:kern w:val="0"/>
      <w:sz w:val="20"/>
      <w:szCs w:val="20"/>
    </w:rPr>
  </w:style>
  <w:style w:type="paragraph" w:customStyle="1" w:styleId="0223">
    <w:name w:val="0223"/>
    <w:basedOn w:val="Standard"/>
    <w:pPr>
      <w:widowControl/>
      <w:spacing w:before="280" w:after="280"/>
    </w:pPr>
    <w:rPr>
      <w:rFonts w:ascii="新細明體, PMingLiU" w:hAnsi="新細明體, PMingLiU" w:cs="新細明體, PMingLiU"/>
      <w:kern w:val="0"/>
      <w:szCs w:val="24"/>
    </w:rPr>
  </w:style>
  <w:style w:type="paragraph" w:customStyle="1" w:styleId="0224">
    <w:name w:val="0224"/>
    <w:basedOn w:val="Standard"/>
    <w:pPr>
      <w:widowControl/>
      <w:spacing w:before="280" w:after="280"/>
    </w:pPr>
    <w:rPr>
      <w:rFonts w:ascii="新細明體, PMingLiU" w:hAnsi="新細明體, PMingLiU" w:cs="新細明體, PMingLiU"/>
      <w:kern w:val="0"/>
      <w:szCs w:val="24"/>
    </w:rPr>
  </w:style>
  <w:style w:type="paragraph" w:customStyle="1" w:styleId="0221-2">
    <w:name w:val="0221-2"/>
    <w:basedOn w:val="Standard"/>
    <w:pPr>
      <w:widowControl/>
      <w:spacing w:before="280" w:after="280"/>
    </w:pPr>
    <w:rPr>
      <w:rFonts w:ascii="新細明體, PMingLiU" w:hAnsi="新細明體, PMingLiU" w:cs="新細明體, PMingLiU"/>
      <w:kern w:val="0"/>
      <w:szCs w:val="24"/>
    </w:rPr>
  </w:style>
  <w:style w:type="paragraph" w:styleId="ab">
    <w:name w:val="annotation text"/>
    <w:basedOn w:val="Standard"/>
    <w:rPr>
      <w:rFonts w:ascii="Times New Roman" w:eastAsia="Times New Roman" w:hAnsi="Times New Roman"/>
      <w:szCs w:val="24"/>
    </w:rPr>
  </w:style>
  <w:style w:type="paragraph" w:styleId="Web">
    <w:name w:val="Normal (Web)"/>
    <w:basedOn w:val="Standard"/>
    <w:pPr>
      <w:widowControl/>
      <w:spacing w:before="280" w:after="280"/>
    </w:pPr>
    <w:rPr>
      <w:rFonts w:ascii="新細明體, PMingLiU" w:hAnsi="新細明體, PMingLiU" w:cs="新細明體, PMingLiU"/>
      <w:kern w:val="0"/>
      <w:szCs w:val="24"/>
    </w:rPr>
  </w:style>
  <w:style w:type="paragraph" w:styleId="ac">
    <w:name w:val="annotation subject"/>
    <w:basedOn w:val="ab"/>
    <w:next w:val="ab"/>
    <w:rPr>
      <w:b/>
      <w:bCs/>
      <w:szCs w:val="22"/>
    </w:rPr>
  </w:style>
  <w:style w:type="paragraph" w:customStyle="1" w:styleId="Textbodyindent">
    <w:name w:val="Text body indent"/>
    <w:basedOn w:val="Standard"/>
    <w:pPr>
      <w:snapToGrid w:val="0"/>
      <w:spacing w:line="360" w:lineRule="exact"/>
      <w:ind w:left="212" w:hanging="238"/>
    </w:pPr>
    <w:rPr>
      <w:rFonts w:ascii="Times New Roman" w:eastAsia="標楷體, 微軟正黑體" w:hAnsi="Times New Roman"/>
      <w:sz w:val="28"/>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新細明體, PMingLiU"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ad">
    <w:name w:val="頁尾 字元"/>
    <w:rPr>
      <w:rFonts w:ascii="Times New Roman" w:eastAsia="新細明體, PMingLiU" w:hAnsi="Times New Roman" w:cs="Times New Roman"/>
      <w:sz w:val="20"/>
      <w:szCs w:val="20"/>
    </w:rPr>
  </w:style>
  <w:style w:type="character" w:styleId="ae">
    <w:name w:val="page number"/>
    <w:basedOn w:val="a1"/>
  </w:style>
  <w:style w:type="character" w:customStyle="1" w:styleId="af">
    <w:name w:val="頁首 字元"/>
    <w:rPr>
      <w:sz w:val="20"/>
      <w:szCs w:val="20"/>
    </w:rPr>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f0">
    <w:name w:val="註解方塊文字 字元"/>
    <w:rPr>
      <w:rFonts w:ascii="Cambria" w:eastAsia="新細明體, PMingLiU" w:hAnsi="Cambria" w:cs="Times New Roman"/>
      <w:sz w:val="18"/>
      <w:szCs w:val="18"/>
    </w:rPr>
  </w:style>
  <w:style w:type="character" w:styleId="af1">
    <w:name w:val="annotation reference"/>
    <w:rPr>
      <w:sz w:val="18"/>
      <w:szCs w:val="18"/>
    </w:rPr>
  </w:style>
  <w:style w:type="character" w:customStyle="1" w:styleId="af2">
    <w:name w:val="註解文字 字元"/>
    <w:rPr>
      <w:rFonts w:ascii="Times New Roman" w:eastAsia="Times New Roman" w:hAnsi="Times New Roman" w:cs="Times New Roman"/>
      <w:kern w:val="3"/>
      <w:sz w:val="24"/>
      <w:szCs w:val="24"/>
    </w:rPr>
  </w:style>
  <w:style w:type="character" w:styleId="af3">
    <w:name w:val="Emphasis"/>
    <w:rPr>
      <w:i/>
      <w:iCs/>
    </w:rPr>
  </w:style>
  <w:style w:type="character" w:customStyle="1" w:styleId="af4">
    <w:name w:val="註解主旨 字元"/>
    <w:rPr>
      <w:rFonts w:ascii="Times New Roman" w:eastAsia="Times New Roman" w:hAnsi="Times New Roman" w:cs="Times New Roman"/>
      <w:b/>
      <w:bCs/>
      <w:kern w:val="3"/>
      <w:sz w:val="24"/>
      <w:szCs w:val="22"/>
    </w:rPr>
  </w:style>
  <w:style w:type="character" w:customStyle="1" w:styleId="af5">
    <w:name w:val="本文縮排 字元"/>
    <w:rPr>
      <w:rFonts w:ascii="Times New Roman" w:eastAsia="標楷體, 微軟正黑體" w:hAnsi="Times New Roman" w:cs="Times New Roman"/>
      <w:kern w:val="3"/>
      <w:sz w:val="28"/>
      <w:szCs w:val="24"/>
    </w:rPr>
  </w:style>
  <w:style w:type="paragraph" w:customStyle="1" w:styleId="a">
    <w:name w:val="主旨說明"/>
    <w:basedOn w:val="a0"/>
    <w:autoRedefine/>
    <w:pPr>
      <w:widowControl/>
      <w:numPr>
        <w:numId w:val="27"/>
      </w:numPr>
      <w:tabs>
        <w:tab w:val="left" w:pos="-3600"/>
        <w:tab w:val="left" w:leader="middleDot" w:pos="2880"/>
      </w:tabs>
      <w:suppressAutoHyphens w:val="0"/>
      <w:spacing w:line="480" w:lineRule="exact"/>
      <w:textAlignment w:val="auto"/>
    </w:pPr>
    <w:rPr>
      <w:rFonts w:ascii="標楷體" w:eastAsia="標楷體" w:hAnsi="標楷體" w:cs="Times New Roman"/>
      <w:b/>
      <w:sz w:val="32"/>
      <w:szCs w:val="32"/>
      <w:lang w:bidi="ar-SA"/>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LFO27">
    <w:name w:val="LFO27"/>
    <w:basedOn w:val="a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lastModifiedBy>user</cp:lastModifiedBy>
  <cp:revision>2</cp:revision>
  <cp:lastPrinted>2021-03-02T10:49:00Z</cp:lastPrinted>
  <dcterms:created xsi:type="dcterms:W3CDTF">2022-05-06T03:27:00Z</dcterms:created>
  <dcterms:modified xsi:type="dcterms:W3CDTF">2022-05-06T03:27:00Z</dcterms:modified>
</cp:coreProperties>
</file>